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0"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bookmarkStart w:id="1" w:name="_GoBack"/>
      <w:bookmarkEnd w:id="1"/>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0"/>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6D1EEC">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even" r:id="rId9"/>
      <w:headerReference w:type="default" r:id="rId10"/>
      <w:footerReference w:type="even" r:id="rId11"/>
      <w:footerReference w:type="default" r:id="rId12"/>
      <w:headerReference w:type="first" r:id="rId13"/>
      <w:footerReference w:type="first" r:id="rId14"/>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BB" w:rsidRDefault="00F075BB">
      <w:pPr>
        <w:rPr>
          <w:rFonts w:cs="Times New Roman"/>
        </w:rPr>
      </w:pPr>
      <w:r>
        <w:rPr>
          <w:rFonts w:cs="Times New Roman"/>
        </w:rPr>
        <w:separator/>
      </w:r>
    </w:p>
  </w:endnote>
  <w:endnote w:type="continuationSeparator" w:id="0">
    <w:p w:rsidR="00F075BB" w:rsidRDefault="00F075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BB" w:rsidRDefault="00F075BB">
      <w:pPr>
        <w:rPr>
          <w:rFonts w:cs="Times New Roman"/>
        </w:rPr>
      </w:pPr>
      <w:r>
        <w:rPr>
          <w:rFonts w:cs="Times New Roman"/>
        </w:rPr>
        <w:separator/>
      </w:r>
    </w:p>
  </w:footnote>
  <w:footnote w:type="continuationSeparator" w:id="0">
    <w:p w:rsidR="00F075BB" w:rsidRDefault="00F075BB">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6D1EEC">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6D1EEC">
      <w:rPr>
        <w:rStyle w:val="a7"/>
        <w:rFonts w:ascii="Times New Roman" w:cs="Times New Roman"/>
        <w:noProof/>
      </w:rPr>
      <w:t>3</w:t>
    </w:r>
    <w:r>
      <w:rPr>
        <w:rStyle w:val="a7"/>
        <w:rFonts w:ascii="Times New Roman" w:cs="Times New Roman"/>
      </w:rPr>
      <w:fldChar w:fldCharType="end"/>
    </w:r>
    <w:r>
      <w:rPr>
        <w:rStyle w:val="a7"/>
        <w:rFonts w:ascii="Times New Roman" w:cs="Times New Roma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96" w:rsidRDefault="00173F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nsid w:val="1B9F5296"/>
    <w:multiLevelType w:val="singleLevel"/>
    <w:tmpl w:val="040B000F"/>
    <w:lvl w:ilvl="0">
      <w:start w:val="1"/>
      <w:numFmt w:val="decimal"/>
      <w:lvlText w:val="%1."/>
      <w:lvlJc w:val="left"/>
      <w:pPr>
        <w:tabs>
          <w:tab w:val="num" w:pos="360"/>
        </w:tabs>
        <w:ind w:left="360" w:hanging="360"/>
      </w:pPr>
    </w:lvl>
  </w:abstractNum>
  <w:abstractNum w:abstractNumId="3">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nsid w:val="2F6A4466"/>
    <w:multiLevelType w:val="singleLevel"/>
    <w:tmpl w:val="B16E5B24"/>
    <w:lvl w:ilvl="0">
      <w:start w:val="13"/>
      <w:numFmt w:val="decimal"/>
      <w:lvlText w:val="%1."/>
      <w:lvlJc w:val="left"/>
      <w:pPr>
        <w:tabs>
          <w:tab w:val="num" w:pos="360"/>
        </w:tabs>
        <w:ind w:left="360" w:hanging="360"/>
      </w:pPr>
    </w:lvl>
  </w:abstractNum>
  <w:abstractNum w:abstractNumId="6">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q7m6qc4UhXROB/f/qbm04DZ3lY=" w:salt="ENSPrlNe/HajNbXsnKfaPQ=="/>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D4"/>
    <w:rsid w:val="00030B5F"/>
    <w:rsid w:val="0004687A"/>
    <w:rsid w:val="000564C5"/>
    <w:rsid w:val="000739D6"/>
    <w:rsid w:val="001369E4"/>
    <w:rsid w:val="00173F96"/>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6D1EEC"/>
    <w:rsid w:val="0071141A"/>
    <w:rsid w:val="00765774"/>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075BB"/>
    <w:rsid w:val="00F435D6"/>
    <w:rsid w:val="00F9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6719-20EB-4A21-A213-ECD09FD7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4652</Characters>
  <Application>Microsoft Office Word</Application>
  <DocSecurity>4</DocSecurity>
  <Lines>38</Lines>
  <Paragraphs>10</Paragraphs>
  <ScaleCrop>false</ScaleCrop>
  <Company>BIC</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creator>Umi</dc:creator>
  <cp:lastModifiedBy>dell</cp:lastModifiedBy>
  <cp:revision>2</cp:revision>
  <cp:lastPrinted>2010-12-27T00:47:00Z</cp:lastPrinted>
  <dcterms:created xsi:type="dcterms:W3CDTF">2021-04-21T08:44:00Z</dcterms:created>
  <dcterms:modified xsi:type="dcterms:W3CDTF">2021-04-21T08:44:00Z</dcterms:modified>
</cp:coreProperties>
</file>